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C4306" w14:textId="2F378E21" w:rsidR="000A05CF" w:rsidRDefault="0034404C" w:rsidP="000A05CF">
      <w:pPr>
        <w:pStyle w:val="Header"/>
        <w:ind w:right="-653"/>
        <w:rPr>
          <w:rFonts w:cs="Arial"/>
          <w:b/>
          <w:szCs w:val="24"/>
          <w:u w:val="single"/>
        </w:rPr>
      </w:pPr>
      <w:bookmarkStart w:id="0" w:name="_GoBack"/>
      <w:bookmarkEnd w:id="0"/>
      <w:r>
        <w:rPr>
          <w:rFonts w:cs="Arial"/>
          <w:b/>
          <w:noProof/>
          <w:szCs w:val="24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editId="4C3CE41D">
            <wp:simplePos x="0" y="0"/>
            <wp:positionH relativeFrom="column">
              <wp:posOffset>4100830</wp:posOffset>
            </wp:positionH>
            <wp:positionV relativeFrom="paragraph">
              <wp:posOffset>125730</wp:posOffset>
            </wp:positionV>
            <wp:extent cx="1044575" cy="1044575"/>
            <wp:effectExtent l="0" t="0" r="3175" b="3175"/>
            <wp:wrapTight wrapText="bothSides">
              <wp:wrapPolygon edited="0">
                <wp:start x="0" y="0"/>
                <wp:lineTo x="0" y="21272"/>
                <wp:lineTo x="21272" y="21272"/>
                <wp:lineTo x="21272" y="0"/>
                <wp:lineTo x="0" y="0"/>
              </wp:wrapPolygon>
            </wp:wrapTight>
            <wp:docPr id="3" name="Picture 3" descr="Description: LogoESF_Col_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Description: LogoESF_Col_Portra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A087B56" wp14:editId="42707C57">
            <wp:simplePos x="0" y="0"/>
            <wp:positionH relativeFrom="column">
              <wp:posOffset>0</wp:posOffset>
            </wp:positionH>
            <wp:positionV relativeFrom="paragraph">
              <wp:posOffset>173355</wp:posOffset>
            </wp:positionV>
            <wp:extent cx="1778000" cy="1080770"/>
            <wp:effectExtent l="0" t="0" r="0" b="0"/>
            <wp:wrapSquare wrapText="right"/>
            <wp:docPr id="2" name="Picture 8" descr="Title: Education and Skills Funding Agenc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itle: Education and Skills Funding Agency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5AC89" w14:textId="40950E22" w:rsidR="000A05CF" w:rsidRDefault="000A05CF" w:rsidP="000A05CF">
      <w:pPr>
        <w:pStyle w:val="Header"/>
        <w:ind w:right="-653"/>
      </w:pPr>
    </w:p>
    <w:p w14:paraId="66892375" w14:textId="4383B806" w:rsidR="000A05CF" w:rsidRDefault="000A05CF" w:rsidP="00195DB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6B31E16" w14:textId="7F735B54" w:rsidR="0034404C" w:rsidRDefault="0034404C" w:rsidP="00195DB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9173622" w14:textId="23202545" w:rsidR="0034404C" w:rsidRDefault="0034404C" w:rsidP="00195DB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FCD548F" w14:textId="424F0B37" w:rsidR="0034404C" w:rsidRDefault="0034404C" w:rsidP="00195DB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4A0EC29" w14:textId="28117E7C" w:rsidR="00366AAC" w:rsidRPr="00195DBA" w:rsidRDefault="00BE372C" w:rsidP="00195DB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95DBA">
        <w:rPr>
          <w:rFonts w:ascii="Arial" w:hAnsi="Arial" w:cs="Arial"/>
          <w:b/>
          <w:sz w:val="24"/>
          <w:szCs w:val="24"/>
          <w:u w:val="single"/>
        </w:rPr>
        <w:t>ESF Case Studies</w:t>
      </w:r>
      <w:r w:rsidR="00195DBA">
        <w:rPr>
          <w:rFonts w:ascii="Arial" w:hAnsi="Arial" w:cs="Arial"/>
          <w:b/>
          <w:sz w:val="24"/>
          <w:szCs w:val="24"/>
          <w:u w:val="single"/>
        </w:rPr>
        <w:t xml:space="preserve"> and Good </w:t>
      </w:r>
      <w:r w:rsidR="000A05CF">
        <w:rPr>
          <w:rFonts w:ascii="Arial" w:hAnsi="Arial" w:cs="Arial"/>
          <w:b/>
          <w:sz w:val="24"/>
          <w:szCs w:val="24"/>
          <w:u w:val="single"/>
        </w:rPr>
        <w:t>N</w:t>
      </w:r>
      <w:r w:rsidR="00195DBA">
        <w:rPr>
          <w:rFonts w:ascii="Arial" w:hAnsi="Arial" w:cs="Arial"/>
          <w:b/>
          <w:sz w:val="24"/>
          <w:szCs w:val="24"/>
          <w:u w:val="single"/>
        </w:rPr>
        <w:t>ews Stories</w:t>
      </w:r>
    </w:p>
    <w:p w14:paraId="4C90B470" w14:textId="77777777" w:rsidR="00F20D12" w:rsidRPr="00195DBA" w:rsidRDefault="00F20D12" w:rsidP="00F20D12">
      <w:pPr>
        <w:pStyle w:val="Default"/>
        <w:rPr>
          <w:rFonts w:ascii="Arial" w:hAnsi="Arial" w:cs="Arial"/>
        </w:rPr>
      </w:pPr>
    </w:p>
    <w:p w14:paraId="19B77C04" w14:textId="77777777" w:rsidR="00142B12" w:rsidRDefault="00142B12" w:rsidP="00620B6D">
      <w:pPr>
        <w:spacing w:line="240" w:lineRule="auto"/>
        <w:rPr>
          <w:rFonts w:ascii="Arial" w:hAnsi="Arial" w:cs="Arial"/>
          <w:sz w:val="24"/>
          <w:szCs w:val="24"/>
        </w:rPr>
      </w:pPr>
    </w:p>
    <w:p w14:paraId="1A7416E9" w14:textId="77777777" w:rsidR="00E876CF" w:rsidRDefault="00F20D12" w:rsidP="00620B6D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95DBA">
        <w:rPr>
          <w:rFonts w:ascii="Arial" w:hAnsi="Arial" w:cs="Arial"/>
          <w:sz w:val="24"/>
          <w:szCs w:val="24"/>
        </w:rPr>
        <w:t>Case studies</w:t>
      </w:r>
      <w:r w:rsidR="00195DBA">
        <w:rPr>
          <w:rFonts w:ascii="Arial" w:hAnsi="Arial" w:cs="Arial"/>
          <w:sz w:val="24"/>
          <w:szCs w:val="24"/>
        </w:rPr>
        <w:t xml:space="preserve"> and good news stories </w:t>
      </w:r>
      <w:r w:rsidR="00AF279A" w:rsidRPr="00195DBA">
        <w:rPr>
          <w:rFonts w:ascii="Arial" w:hAnsi="Arial" w:cs="Arial"/>
          <w:sz w:val="24"/>
          <w:szCs w:val="24"/>
        </w:rPr>
        <w:t xml:space="preserve">are </w:t>
      </w:r>
      <w:r w:rsidR="00844518">
        <w:rPr>
          <w:rFonts w:ascii="Arial" w:hAnsi="Arial" w:cs="Arial"/>
          <w:sz w:val="24"/>
          <w:szCs w:val="24"/>
        </w:rPr>
        <w:t>an</w:t>
      </w:r>
      <w:r w:rsidR="00AF279A" w:rsidRPr="00195DBA">
        <w:rPr>
          <w:rFonts w:ascii="Arial" w:hAnsi="Arial" w:cs="Arial"/>
          <w:sz w:val="24"/>
          <w:szCs w:val="24"/>
        </w:rPr>
        <w:t xml:space="preserve"> </w:t>
      </w:r>
      <w:r w:rsidR="00844518">
        <w:rPr>
          <w:rFonts w:ascii="Arial" w:hAnsi="Arial" w:cs="Arial"/>
          <w:sz w:val="24"/>
          <w:szCs w:val="24"/>
        </w:rPr>
        <w:t xml:space="preserve">effective way of </w:t>
      </w:r>
      <w:r w:rsidR="00127741">
        <w:rPr>
          <w:rFonts w:ascii="Arial" w:hAnsi="Arial" w:cs="Arial"/>
          <w:sz w:val="24"/>
          <w:szCs w:val="24"/>
        </w:rPr>
        <w:t>encapsulating</w:t>
      </w:r>
      <w:r w:rsidR="00AF279A" w:rsidRPr="00195DBA">
        <w:rPr>
          <w:rFonts w:ascii="Arial" w:hAnsi="Arial" w:cs="Arial"/>
          <w:sz w:val="24"/>
          <w:szCs w:val="24"/>
        </w:rPr>
        <w:t xml:space="preserve"> how individuals and business </w:t>
      </w:r>
      <w:proofErr w:type="gramStart"/>
      <w:r w:rsidR="00844518">
        <w:rPr>
          <w:rFonts w:ascii="Arial" w:hAnsi="Arial" w:cs="Arial"/>
          <w:sz w:val="24"/>
          <w:szCs w:val="24"/>
        </w:rPr>
        <w:t>are being</w:t>
      </w:r>
      <w:r w:rsidR="00AF279A" w:rsidRPr="00195DBA">
        <w:rPr>
          <w:rFonts w:ascii="Arial" w:hAnsi="Arial" w:cs="Arial"/>
          <w:sz w:val="24"/>
          <w:szCs w:val="24"/>
        </w:rPr>
        <w:t xml:space="preserve"> supported</w:t>
      </w:r>
      <w:proofErr w:type="gramEnd"/>
      <w:r w:rsidR="00AF279A" w:rsidRPr="00195DBA">
        <w:rPr>
          <w:rFonts w:ascii="Arial" w:hAnsi="Arial" w:cs="Arial"/>
          <w:sz w:val="24"/>
          <w:szCs w:val="24"/>
        </w:rPr>
        <w:t xml:space="preserve"> by</w:t>
      </w:r>
      <w:r w:rsidR="00195DBA" w:rsidRPr="00195DBA">
        <w:rPr>
          <w:rFonts w:ascii="Arial" w:hAnsi="Arial" w:cs="Arial"/>
          <w:sz w:val="24"/>
          <w:szCs w:val="24"/>
        </w:rPr>
        <w:t xml:space="preserve"> the</w:t>
      </w:r>
      <w:r w:rsidR="00AF279A" w:rsidRPr="00195DBA">
        <w:rPr>
          <w:rFonts w:ascii="Arial" w:hAnsi="Arial" w:cs="Arial"/>
          <w:sz w:val="24"/>
          <w:szCs w:val="24"/>
        </w:rPr>
        <w:t xml:space="preserve"> European Social Fund (ESF) and the impact this </w:t>
      </w:r>
      <w:r w:rsidR="00844518">
        <w:rPr>
          <w:rFonts w:ascii="Arial" w:hAnsi="Arial" w:cs="Arial"/>
          <w:sz w:val="24"/>
          <w:szCs w:val="24"/>
        </w:rPr>
        <w:t>is having</w:t>
      </w:r>
      <w:r w:rsidR="00AF279A" w:rsidRPr="00195DBA">
        <w:rPr>
          <w:rFonts w:ascii="Arial" w:hAnsi="Arial" w:cs="Arial"/>
          <w:sz w:val="24"/>
          <w:szCs w:val="24"/>
        </w:rPr>
        <w:t xml:space="preserve">.  </w:t>
      </w:r>
      <w:r w:rsidR="00195DBA" w:rsidRPr="00195DBA">
        <w:rPr>
          <w:rFonts w:ascii="Arial" w:hAnsi="Arial" w:cs="Arial"/>
          <w:sz w:val="24"/>
          <w:szCs w:val="24"/>
        </w:rPr>
        <w:t>It is an opportunity for p</w:t>
      </w:r>
      <w:r w:rsidR="00AF279A" w:rsidRPr="00195DBA">
        <w:rPr>
          <w:rFonts w:ascii="Arial" w:hAnsi="Arial" w:cs="Arial"/>
          <w:sz w:val="24"/>
          <w:szCs w:val="24"/>
          <w:shd w:val="clear" w:color="auto" w:fill="FFFFFF"/>
        </w:rPr>
        <w:t>articipants</w:t>
      </w:r>
      <w:r w:rsidR="00195DBA" w:rsidRPr="00195DBA">
        <w:rPr>
          <w:rFonts w:ascii="Arial" w:hAnsi="Arial" w:cs="Arial"/>
          <w:sz w:val="24"/>
          <w:szCs w:val="24"/>
          <w:shd w:val="clear" w:color="auto" w:fill="FFFFFF"/>
        </w:rPr>
        <w:t xml:space="preserve"> to </w:t>
      </w:r>
      <w:r w:rsidR="00AF279A" w:rsidRPr="00195DBA">
        <w:rPr>
          <w:rFonts w:ascii="Arial" w:hAnsi="Arial" w:cs="Arial"/>
          <w:sz w:val="24"/>
          <w:szCs w:val="24"/>
          <w:shd w:val="clear" w:color="auto" w:fill="FFFFFF"/>
        </w:rPr>
        <w:t>explain how the training and support they received has helped them to overcome their own personal barriers and enabled them to enhance and extend their employment opportunities</w:t>
      </w:r>
      <w:r w:rsidR="00195DBA" w:rsidRPr="00195DBA">
        <w:rPr>
          <w:rFonts w:ascii="Arial" w:hAnsi="Arial" w:cs="Arial"/>
          <w:sz w:val="24"/>
          <w:szCs w:val="24"/>
          <w:shd w:val="clear" w:color="auto" w:fill="FFFFFF"/>
        </w:rPr>
        <w:t xml:space="preserve"> or move them towards the labour market</w:t>
      </w:r>
      <w:r w:rsidR="00AF279A" w:rsidRPr="00195DBA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CA7EF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5161922D" w14:textId="729FB5E5" w:rsidR="00CA7EF8" w:rsidRDefault="00CA7EF8" w:rsidP="00620B6D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Project</w:t>
      </w:r>
      <w:r w:rsidR="00F4367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case studies are also a way for lead providers to promote the work they have been doing and in some instances share good practice.</w:t>
      </w:r>
    </w:p>
    <w:p w14:paraId="06E016A4" w14:textId="719D8246" w:rsidR="00195DBA" w:rsidRDefault="00844518" w:rsidP="0084451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Four </w:t>
      </w:r>
      <w:r w:rsidR="00195DBA" w:rsidRPr="00195DBA">
        <w:rPr>
          <w:rFonts w:ascii="Arial" w:hAnsi="Arial" w:cs="Arial"/>
          <w:sz w:val="24"/>
          <w:szCs w:val="24"/>
        </w:rPr>
        <w:t xml:space="preserve">case study templates </w:t>
      </w:r>
      <w:proofErr w:type="gramStart"/>
      <w:r w:rsidR="00195DBA" w:rsidRPr="00195DBA">
        <w:rPr>
          <w:rFonts w:ascii="Arial" w:hAnsi="Arial" w:cs="Arial"/>
          <w:sz w:val="24"/>
          <w:szCs w:val="24"/>
        </w:rPr>
        <w:t xml:space="preserve">have been </w:t>
      </w:r>
      <w:r>
        <w:rPr>
          <w:rFonts w:ascii="Arial" w:hAnsi="Arial" w:cs="Arial"/>
          <w:sz w:val="24"/>
          <w:szCs w:val="24"/>
        </w:rPr>
        <w:t>developed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95DBA" w:rsidRPr="00195DBA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enable</w:t>
      </w:r>
      <w:r w:rsidR="00195DBA" w:rsidRPr="00195D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providers to</w:t>
      </w:r>
      <w:r w:rsidR="00195DBA" w:rsidRPr="00195DBA">
        <w:rPr>
          <w:rFonts w:ascii="Arial" w:hAnsi="Arial" w:cs="Arial"/>
          <w:sz w:val="24"/>
          <w:szCs w:val="24"/>
        </w:rPr>
        <w:t xml:space="preserve"> shar</w:t>
      </w:r>
      <w:r>
        <w:rPr>
          <w:rFonts w:ascii="Arial" w:hAnsi="Arial" w:cs="Arial"/>
          <w:sz w:val="24"/>
          <w:szCs w:val="24"/>
        </w:rPr>
        <w:t>e</w:t>
      </w:r>
      <w:r w:rsidR="00195DBA" w:rsidRPr="00195DBA">
        <w:rPr>
          <w:rFonts w:ascii="Arial" w:hAnsi="Arial" w:cs="Arial"/>
          <w:sz w:val="24"/>
          <w:szCs w:val="24"/>
        </w:rPr>
        <w:t xml:space="preserve"> the achievements of individuals, business and projects that have been supported by ESF.  </w:t>
      </w:r>
    </w:p>
    <w:p w14:paraId="5D1587D6" w14:textId="4A1FEF0D" w:rsidR="00F43671" w:rsidRDefault="00F43671" w:rsidP="00AA027C">
      <w:pPr>
        <w:spacing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7B6D4E" w14:paraId="6583586A" w14:textId="6AE2FC3E" w:rsidTr="007B6D4E">
        <w:tc>
          <w:tcPr>
            <w:tcW w:w="2263" w:type="dxa"/>
          </w:tcPr>
          <w:p w14:paraId="7E626BD6" w14:textId="02AEB242" w:rsidR="007B6D4E" w:rsidRDefault="007B6D4E" w:rsidP="00AA027C">
            <w:pPr>
              <w:rPr>
                <w:b/>
                <w:bCs/>
              </w:rPr>
            </w:pPr>
            <w:r>
              <w:rPr>
                <w:b/>
                <w:bCs/>
              </w:rPr>
              <w:t>Template</w:t>
            </w:r>
          </w:p>
        </w:tc>
        <w:tc>
          <w:tcPr>
            <w:tcW w:w="2268" w:type="dxa"/>
          </w:tcPr>
          <w:p w14:paraId="20CFF8AA" w14:textId="13B2D786" w:rsidR="007B6D4E" w:rsidRDefault="007B6D4E" w:rsidP="00AA027C">
            <w:pPr>
              <w:rPr>
                <w:b/>
                <w:bCs/>
              </w:rPr>
            </w:pPr>
            <w:r>
              <w:rPr>
                <w:b/>
                <w:bCs/>
              </w:rPr>
              <w:t>Investment Priority</w:t>
            </w:r>
          </w:p>
        </w:tc>
      </w:tr>
      <w:tr w:rsidR="007B6D4E" w14:paraId="1DA0CE78" w14:textId="7F62C5DE" w:rsidTr="007B6D4E">
        <w:tc>
          <w:tcPr>
            <w:tcW w:w="2263" w:type="dxa"/>
          </w:tcPr>
          <w:p w14:paraId="431E3D90" w14:textId="57B53704" w:rsidR="007B6D4E" w:rsidRDefault="007B6D4E" w:rsidP="00AA027C">
            <w:pPr>
              <w:rPr>
                <w:b/>
                <w:bCs/>
              </w:rPr>
            </w:pPr>
            <w:r>
              <w:rPr>
                <w:b/>
                <w:bCs/>
              </w:rPr>
              <w:t>EMPLOYER</w:t>
            </w:r>
          </w:p>
        </w:tc>
        <w:tc>
          <w:tcPr>
            <w:tcW w:w="2268" w:type="dxa"/>
          </w:tcPr>
          <w:p w14:paraId="7A2CA41C" w14:textId="001A6816" w:rsidR="007B6D4E" w:rsidRDefault="007B6D4E" w:rsidP="00AA027C">
            <w:pPr>
              <w:rPr>
                <w:b/>
                <w:bCs/>
              </w:rPr>
            </w:pPr>
            <w:r>
              <w:rPr>
                <w:b/>
                <w:bCs/>
              </w:rPr>
              <w:t>2.1</w:t>
            </w:r>
          </w:p>
        </w:tc>
      </w:tr>
      <w:tr w:rsidR="007B6D4E" w14:paraId="18DC2C04" w14:textId="4AD0E386" w:rsidTr="007B6D4E">
        <w:tc>
          <w:tcPr>
            <w:tcW w:w="2263" w:type="dxa"/>
          </w:tcPr>
          <w:p w14:paraId="78EAA262" w14:textId="7D0F3F83" w:rsidR="007B6D4E" w:rsidRDefault="007B6D4E" w:rsidP="00AA027C">
            <w:pPr>
              <w:rPr>
                <w:b/>
                <w:bCs/>
              </w:rPr>
            </w:pPr>
            <w:r>
              <w:rPr>
                <w:b/>
                <w:bCs/>
              </w:rPr>
              <w:t>PARTICIPANT</w:t>
            </w:r>
          </w:p>
        </w:tc>
        <w:tc>
          <w:tcPr>
            <w:tcW w:w="2268" w:type="dxa"/>
          </w:tcPr>
          <w:p w14:paraId="5C648F59" w14:textId="10009400" w:rsidR="007B6D4E" w:rsidRDefault="007B6D4E" w:rsidP="00AA027C">
            <w:pPr>
              <w:rPr>
                <w:b/>
                <w:bCs/>
              </w:rPr>
            </w:pPr>
            <w:r>
              <w:rPr>
                <w:b/>
                <w:bCs/>
              </w:rPr>
              <w:t>1.1, 1.2, 1.4, 2.1</w:t>
            </w:r>
          </w:p>
        </w:tc>
      </w:tr>
      <w:tr w:rsidR="007B6D4E" w14:paraId="1717DAC5" w14:textId="76F7B848" w:rsidTr="007B6D4E">
        <w:tc>
          <w:tcPr>
            <w:tcW w:w="2263" w:type="dxa"/>
          </w:tcPr>
          <w:p w14:paraId="367E1F63" w14:textId="04AC0986" w:rsidR="007B6D4E" w:rsidRDefault="007B6D4E" w:rsidP="00AA027C">
            <w:pPr>
              <w:rPr>
                <w:b/>
                <w:bCs/>
              </w:rPr>
            </w:pPr>
            <w:r>
              <w:rPr>
                <w:b/>
                <w:bCs/>
              </w:rPr>
              <w:t>PROJECT</w:t>
            </w:r>
          </w:p>
        </w:tc>
        <w:tc>
          <w:tcPr>
            <w:tcW w:w="2268" w:type="dxa"/>
          </w:tcPr>
          <w:p w14:paraId="1F86F2A8" w14:textId="23B93EFA" w:rsidR="007B6D4E" w:rsidRDefault="007B6D4E" w:rsidP="00AA027C">
            <w:pPr>
              <w:rPr>
                <w:b/>
                <w:bCs/>
              </w:rPr>
            </w:pPr>
            <w:r>
              <w:rPr>
                <w:b/>
                <w:bCs/>
              </w:rPr>
              <w:t>1.1, 1.2, 2.1</w:t>
            </w:r>
          </w:p>
        </w:tc>
      </w:tr>
      <w:tr w:rsidR="007B6D4E" w14:paraId="73DB201E" w14:textId="3F470BC9" w:rsidTr="007B6D4E">
        <w:tc>
          <w:tcPr>
            <w:tcW w:w="2263" w:type="dxa"/>
          </w:tcPr>
          <w:p w14:paraId="69793617" w14:textId="359EBD80" w:rsidR="007B6D4E" w:rsidRDefault="007B6D4E" w:rsidP="00AA027C">
            <w:pPr>
              <w:rPr>
                <w:b/>
                <w:bCs/>
              </w:rPr>
            </w:pPr>
            <w:r>
              <w:rPr>
                <w:b/>
                <w:bCs/>
              </w:rPr>
              <w:t>COMMUNITY GRANTS</w:t>
            </w:r>
          </w:p>
        </w:tc>
        <w:tc>
          <w:tcPr>
            <w:tcW w:w="2268" w:type="dxa"/>
          </w:tcPr>
          <w:p w14:paraId="6A1CF475" w14:textId="3CB2B633" w:rsidR="007B6D4E" w:rsidRDefault="007B6D4E" w:rsidP="00AA027C">
            <w:pPr>
              <w:rPr>
                <w:b/>
                <w:bCs/>
              </w:rPr>
            </w:pPr>
            <w:r>
              <w:rPr>
                <w:b/>
                <w:bCs/>
              </w:rPr>
              <w:t>1.4</w:t>
            </w:r>
          </w:p>
        </w:tc>
      </w:tr>
      <w:tr w:rsidR="007B6D4E" w14:paraId="31E713BD" w14:textId="78B96A07" w:rsidTr="007B6D4E">
        <w:tc>
          <w:tcPr>
            <w:tcW w:w="2263" w:type="dxa"/>
          </w:tcPr>
          <w:p w14:paraId="3A07E11B" w14:textId="77777777" w:rsidR="007B6D4E" w:rsidRDefault="007B6D4E" w:rsidP="00AA027C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5B539E27" w14:textId="77777777" w:rsidR="007B6D4E" w:rsidRDefault="007B6D4E" w:rsidP="00AA027C">
            <w:pPr>
              <w:rPr>
                <w:b/>
                <w:bCs/>
              </w:rPr>
            </w:pPr>
          </w:p>
        </w:tc>
      </w:tr>
    </w:tbl>
    <w:p w14:paraId="4622AD0C" w14:textId="56DB3DE9" w:rsidR="00AA027C" w:rsidRDefault="00AA027C" w:rsidP="00AA027C">
      <w:pPr>
        <w:spacing w:line="240" w:lineRule="auto"/>
        <w:rPr>
          <w:b/>
          <w:bCs/>
        </w:rPr>
      </w:pPr>
    </w:p>
    <w:p w14:paraId="33E2F1AE" w14:textId="0C98A9C2" w:rsidR="00AA027C" w:rsidRDefault="00AA027C" w:rsidP="00AA027C">
      <w:pPr>
        <w:spacing w:line="240" w:lineRule="auto"/>
        <w:rPr>
          <w:b/>
          <w:bCs/>
        </w:rPr>
      </w:pPr>
    </w:p>
    <w:p w14:paraId="5E1F70FA" w14:textId="77777777" w:rsidR="00422D31" w:rsidRPr="00CA7EF8" w:rsidRDefault="00844518" w:rsidP="00620B6D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A7EF8">
        <w:rPr>
          <w:rFonts w:ascii="Arial" w:hAnsi="Arial" w:cs="Arial"/>
          <w:b/>
          <w:bCs/>
          <w:sz w:val="24"/>
          <w:szCs w:val="24"/>
          <w:u w:val="single"/>
        </w:rPr>
        <w:t>General points to take into consideration</w:t>
      </w:r>
    </w:p>
    <w:p w14:paraId="24363AFE" w14:textId="489A9098" w:rsidR="00CA7EF8" w:rsidRPr="00E876CF" w:rsidRDefault="002B281D" w:rsidP="00E876CF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E876CF">
        <w:rPr>
          <w:rFonts w:ascii="Arial" w:hAnsi="Arial" w:cs="Arial"/>
          <w:bCs/>
          <w:sz w:val="24"/>
          <w:szCs w:val="24"/>
        </w:rPr>
        <w:t xml:space="preserve">ESF 2014-20 Funding Rules V1 May 19: Paragraph </w:t>
      </w:r>
      <w:proofErr w:type="gramStart"/>
      <w:r w:rsidRPr="00E876CF">
        <w:rPr>
          <w:rFonts w:ascii="Arial" w:hAnsi="Arial" w:cs="Arial"/>
          <w:bCs/>
          <w:sz w:val="24"/>
          <w:szCs w:val="24"/>
        </w:rPr>
        <w:t>142  Reporting</w:t>
      </w:r>
      <w:proofErr w:type="gramEnd"/>
      <w:r w:rsidRPr="00E876CF">
        <w:rPr>
          <w:rFonts w:ascii="Arial" w:hAnsi="Arial" w:cs="Arial"/>
          <w:bCs/>
          <w:sz w:val="24"/>
          <w:szCs w:val="24"/>
        </w:rPr>
        <w:t xml:space="preserve"> and Evidence</w:t>
      </w:r>
      <w:r w:rsidR="00E876CF">
        <w:rPr>
          <w:rFonts w:ascii="Arial" w:hAnsi="Arial" w:cs="Arial"/>
          <w:bCs/>
          <w:sz w:val="24"/>
          <w:szCs w:val="24"/>
        </w:rPr>
        <w:t xml:space="preserve"> </w:t>
      </w:r>
      <w:r w:rsidRPr="00E876CF">
        <w:rPr>
          <w:rFonts w:ascii="Arial" w:hAnsi="Arial" w:cs="Arial"/>
          <w:bCs/>
          <w:sz w:val="24"/>
          <w:szCs w:val="24"/>
        </w:rPr>
        <w:t xml:space="preserve">- </w:t>
      </w:r>
      <w:r w:rsidRPr="00E876CF">
        <w:rPr>
          <w:rFonts w:ascii="Arial" w:hAnsi="Arial" w:cs="Arial"/>
          <w:sz w:val="24"/>
          <w:szCs w:val="24"/>
        </w:rPr>
        <w:t>You are required to hold and retain the following: Publicity material, case studies and good news stories.</w:t>
      </w:r>
    </w:p>
    <w:p w14:paraId="1B8D8B7F" w14:textId="77777777" w:rsidR="007B6D4E" w:rsidRPr="007B6D4E" w:rsidRDefault="007B6D4E" w:rsidP="007B6D4E">
      <w:pPr>
        <w:pStyle w:val="ListParagraph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9FE82E8" w14:textId="33483AFE" w:rsidR="007B6D4E" w:rsidRDefault="007B6D4E" w:rsidP="007B6D4E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876CF">
        <w:rPr>
          <w:rFonts w:ascii="Arial" w:hAnsi="Arial" w:cs="Arial"/>
          <w:sz w:val="24"/>
          <w:szCs w:val="24"/>
          <w:shd w:val="clear" w:color="auto" w:fill="FFFFFF"/>
        </w:rPr>
        <w:t>Case studies must be submitted on the templates provided</w:t>
      </w:r>
    </w:p>
    <w:p w14:paraId="0D16746E" w14:textId="328903BF" w:rsidR="007B6D4E" w:rsidRDefault="007B6D4E" w:rsidP="007B6D4E">
      <w:pPr>
        <w:pStyle w:val="ListParagraph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7118AE10" w14:textId="5EFEA30A" w:rsidR="007B6D4E" w:rsidRDefault="007B6D4E" w:rsidP="007B6D4E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All sections, including the ESF contract number, must be completed in the boxes provided – if the template is being completed by a sub -contractor/business /participant these can be completed by the lead provider prior to submission</w:t>
      </w:r>
    </w:p>
    <w:p w14:paraId="42827B9C" w14:textId="77777777" w:rsidR="00FC6C84" w:rsidRPr="00FC6C84" w:rsidRDefault="00FC6C84" w:rsidP="00FC6C84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14:paraId="0DB23F91" w14:textId="77777777" w:rsidR="00FC6C84" w:rsidRPr="00E876CF" w:rsidRDefault="00FC6C84" w:rsidP="00FC6C84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876CF">
        <w:rPr>
          <w:rFonts w:ascii="Arial" w:hAnsi="Arial" w:cs="Arial"/>
          <w:sz w:val="24"/>
          <w:szCs w:val="24"/>
          <w:shd w:val="clear" w:color="auto" w:fill="FFFFFF"/>
        </w:rPr>
        <w:lastRenderedPageBreak/>
        <w:t>Case studies and good new stories may originate from lead providers, sub-contractors or some other source but they should always be approved by the lead provider before being submitted to the Agency</w:t>
      </w:r>
    </w:p>
    <w:p w14:paraId="337B999A" w14:textId="77777777" w:rsidR="007B6D4E" w:rsidRDefault="007B6D4E" w:rsidP="007B6D4E">
      <w:pPr>
        <w:pStyle w:val="ListParagraph"/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6A3DA7B3" w14:textId="508FB0B9" w:rsidR="002B281D" w:rsidRDefault="002B281D" w:rsidP="00E876CF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E876CF">
        <w:rPr>
          <w:rFonts w:ascii="Arial" w:hAnsi="Arial" w:cs="Arial"/>
          <w:bCs/>
          <w:sz w:val="24"/>
          <w:szCs w:val="24"/>
        </w:rPr>
        <w:t>Quality not quantity –</w:t>
      </w:r>
      <w:r w:rsidR="00E876CF">
        <w:rPr>
          <w:rFonts w:ascii="Arial" w:hAnsi="Arial" w:cs="Arial"/>
          <w:bCs/>
          <w:sz w:val="24"/>
          <w:szCs w:val="24"/>
        </w:rPr>
        <w:t xml:space="preserve"> </w:t>
      </w:r>
      <w:r w:rsidRPr="00E876CF">
        <w:rPr>
          <w:rFonts w:ascii="Arial" w:hAnsi="Arial" w:cs="Arial"/>
          <w:bCs/>
          <w:sz w:val="24"/>
          <w:szCs w:val="24"/>
        </w:rPr>
        <w:t>we received approximately 2</w:t>
      </w:r>
      <w:r w:rsidR="00592280" w:rsidRPr="00E876CF">
        <w:rPr>
          <w:rFonts w:ascii="Arial" w:hAnsi="Arial" w:cs="Arial"/>
          <w:bCs/>
          <w:sz w:val="24"/>
          <w:szCs w:val="24"/>
        </w:rPr>
        <w:t>50</w:t>
      </w:r>
      <w:r w:rsidRPr="00E876CF">
        <w:rPr>
          <w:rFonts w:ascii="Arial" w:hAnsi="Arial" w:cs="Arial"/>
          <w:bCs/>
          <w:sz w:val="24"/>
          <w:szCs w:val="24"/>
        </w:rPr>
        <w:t xml:space="preserve"> case studies in the </w:t>
      </w:r>
      <w:r w:rsidR="00A43E56" w:rsidRPr="00E876CF">
        <w:rPr>
          <w:rFonts w:ascii="Arial" w:hAnsi="Arial" w:cs="Arial"/>
          <w:bCs/>
          <w:sz w:val="24"/>
          <w:szCs w:val="24"/>
        </w:rPr>
        <w:t>first</w:t>
      </w:r>
      <w:r w:rsidRPr="00E876CF">
        <w:rPr>
          <w:rFonts w:ascii="Arial" w:hAnsi="Arial" w:cs="Arial"/>
          <w:bCs/>
          <w:sz w:val="24"/>
          <w:szCs w:val="24"/>
        </w:rPr>
        <w:t xml:space="preserve"> half of the programme but were u</w:t>
      </w:r>
      <w:r w:rsidR="00A43E56" w:rsidRPr="00E876CF">
        <w:rPr>
          <w:rFonts w:ascii="Arial" w:hAnsi="Arial" w:cs="Arial"/>
          <w:bCs/>
          <w:sz w:val="24"/>
          <w:szCs w:val="24"/>
        </w:rPr>
        <w:t>n</w:t>
      </w:r>
      <w:r w:rsidRPr="00E876CF">
        <w:rPr>
          <w:rFonts w:ascii="Arial" w:hAnsi="Arial" w:cs="Arial"/>
          <w:bCs/>
          <w:sz w:val="24"/>
          <w:szCs w:val="24"/>
        </w:rPr>
        <w:t xml:space="preserve">able to use </w:t>
      </w:r>
      <w:r w:rsidR="00C46A36" w:rsidRPr="00E876CF">
        <w:rPr>
          <w:rFonts w:ascii="Arial" w:hAnsi="Arial" w:cs="Arial"/>
          <w:bCs/>
          <w:sz w:val="24"/>
          <w:szCs w:val="24"/>
        </w:rPr>
        <w:t>many</w:t>
      </w:r>
      <w:r w:rsidR="00592280" w:rsidRPr="00E876CF">
        <w:rPr>
          <w:rFonts w:ascii="Arial" w:hAnsi="Arial" w:cs="Arial"/>
          <w:bCs/>
          <w:sz w:val="24"/>
          <w:szCs w:val="24"/>
        </w:rPr>
        <w:t xml:space="preserve"> of</w:t>
      </w:r>
      <w:r w:rsidR="00A43E56" w:rsidRPr="00E876CF">
        <w:rPr>
          <w:rFonts w:ascii="Arial" w:hAnsi="Arial" w:cs="Arial"/>
          <w:bCs/>
          <w:sz w:val="24"/>
          <w:szCs w:val="24"/>
        </w:rPr>
        <w:t xml:space="preserve"> these as the quali</w:t>
      </w:r>
      <w:r w:rsidR="007B6D4E">
        <w:rPr>
          <w:rFonts w:ascii="Arial" w:hAnsi="Arial" w:cs="Arial"/>
          <w:bCs/>
          <w:sz w:val="24"/>
          <w:szCs w:val="24"/>
        </w:rPr>
        <w:t>ty</w:t>
      </w:r>
      <w:r w:rsidR="00A43E56" w:rsidRPr="00E876CF">
        <w:rPr>
          <w:rFonts w:ascii="Arial" w:hAnsi="Arial" w:cs="Arial"/>
          <w:bCs/>
          <w:sz w:val="24"/>
          <w:szCs w:val="24"/>
        </w:rPr>
        <w:t xml:space="preserve"> was poor and did not contain enoug</w:t>
      </w:r>
      <w:r w:rsidR="00470402" w:rsidRPr="00E876CF">
        <w:rPr>
          <w:rFonts w:ascii="Arial" w:hAnsi="Arial" w:cs="Arial"/>
          <w:bCs/>
          <w:sz w:val="24"/>
          <w:szCs w:val="24"/>
        </w:rPr>
        <w:t>h information to be informative</w:t>
      </w:r>
      <w:r w:rsidR="00C46A36" w:rsidRPr="00E876CF">
        <w:rPr>
          <w:rFonts w:ascii="Arial" w:hAnsi="Arial" w:cs="Arial"/>
          <w:bCs/>
          <w:sz w:val="24"/>
          <w:szCs w:val="24"/>
        </w:rPr>
        <w:t xml:space="preserve"> or they were hand written</w:t>
      </w:r>
      <w:r w:rsidR="00470402" w:rsidRPr="00E876CF">
        <w:rPr>
          <w:rFonts w:ascii="Arial" w:hAnsi="Arial" w:cs="Arial"/>
          <w:bCs/>
          <w:sz w:val="24"/>
          <w:szCs w:val="24"/>
        </w:rPr>
        <w:t xml:space="preserve"> and illegible.</w:t>
      </w:r>
      <w:r w:rsidR="007B6D4E">
        <w:rPr>
          <w:rFonts w:ascii="Arial" w:hAnsi="Arial" w:cs="Arial"/>
          <w:bCs/>
          <w:sz w:val="24"/>
          <w:szCs w:val="24"/>
        </w:rPr>
        <w:t xml:space="preserve"> The bullet points in each section of the template should inform the writer of the areas we are interested in hearing about.</w:t>
      </w:r>
    </w:p>
    <w:p w14:paraId="426E2B1C" w14:textId="77777777" w:rsidR="00FC6C84" w:rsidRDefault="00FC6C84" w:rsidP="00FC6C84">
      <w:pPr>
        <w:pStyle w:val="ListParagraph"/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1135C472" w14:textId="63EAD159" w:rsidR="007B6D4E" w:rsidRPr="00E876CF" w:rsidRDefault="007B6D4E" w:rsidP="00E876CF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starting point/background of the participant/business is just as important as the achievement as it demonstrates the learner journey and shows any barriers that the participant has had to overcome. </w:t>
      </w:r>
    </w:p>
    <w:p w14:paraId="6195364B" w14:textId="77777777" w:rsidR="007B6D4E" w:rsidRDefault="007B6D4E" w:rsidP="007B6D4E">
      <w:pPr>
        <w:pStyle w:val="ListParagraph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83AFE78" w14:textId="7BDFF56A" w:rsidR="00CA7EF8" w:rsidRDefault="00CA7EF8" w:rsidP="00E876CF">
      <w:pPr>
        <w:pStyle w:val="Default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templates are not prescriptive and some points may not be relevant to the type of programme the provider is delivering, they </w:t>
      </w:r>
      <w:proofErr w:type="gramStart"/>
      <w:r>
        <w:rPr>
          <w:rFonts w:ascii="Arial" w:hAnsi="Arial" w:cs="Arial"/>
          <w:bCs/>
        </w:rPr>
        <w:t>are meant</w:t>
      </w:r>
      <w:proofErr w:type="gramEnd"/>
      <w:r>
        <w:rPr>
          <w:rFonts w:ascii="Arial" w:hAnsi="Arial" w:cs="Arial"/>
          <w:bCs/>
        </w:rPr>
        <w:t xml:space="preserve"> as a guide.</w:t>
      </w:r>
    </w:p>
    <w:p w14:paraId="083FC9F3" w14:textId="77777777" w:rsidR="00E876CF" w:rsidRDefault="00E876CF" w:rsidP="00E876CF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0BCBF002" w14:textId="242C394F" w:rsidR="00CA7EF8" w:rsidRDefault="00CA7EF8" w:rsidP="00E876CF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E876CF">
        <w:rPr>
          <w:rFonts w:ascii="Arial" w:hAnsi="Arial" w:cs="Arial"/>
          <w:sz w:val="24"/>
          <w:szCs w:val="24"/>
        </w:rPr>
        <w:t xml:space="preserve">If providers are not able to complete all the sections in the template the ESFA are still interested in hearing from them - just ensure they have included as much relevant information as possible. </w:t>
      </w:r>
    </w:p>
    <w:p w14:paraId="2BE2AC0A" w14:textId="77777777" w:rsidR="0058553D" w:rsidRPr="0058553D" w:rsidRDefault="0058553D" w:rsidP="0058553D">
      <w:pPr>
        <w:pStyle w:val="ListParagraph"/>
        <w:rPr>
          <w:rFonts w:ascii="Arial" w:hAnsi="Arial" w:cs="Arial"/>
          <w:sz w:val="24"/>
          <w:szCs w:val="24"/>
        </w:rPr>
      </w:pPr>
    </w:p>
    <w:p w14:paraId="4F9F4338" w14:textId="7251353E" w:rsidR="0058553D" w:rsidRPr="00E876CF" w:rsidRDefault="0058553D" w:rsidP="00E876CF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your case study relates to individuals please ensure that the participant</w:t>
      </w:r>
      <w:r w:rsidR="0088577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ha</w:t>
      </w:r>
      <w:r w:rsidR="00885779"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z w:val="24"/>
          <w:szCs w:val="24"/>
        </w:rPr>
        <w:t xml:space="preserve"> included a consent form.</w:t>
      </w:r>
    </w:p>
    <w:p w14:paraId="6D2B11E1" w14:textId="77777777" w:rsidR="00E876CF" w:rsidRDefault="00E876CF" w:rsidP="00E876CF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72DCECC8" w14:textId="6021FF23" w:rsidR="00C46A36" w:rsidRPr="00E876CF" w:rsidRDefault="00C46A36" w:rsidP="00E876CF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E876CF">
        <w:rPr>
          <w:rFonts w:ascii="Arial" w:hAnsi="Arial" w:cs="Arial"/>
          <w:sz w:val="24"/>
          <w:szCs w:val="24"/>
        </w:rPr>
        <w:t xml:space="preserve">Case studies should checked by M&amp;D Advisors and sent to </w:t>
      </w:r>
      <w:r w:rsidRPr="00E876CF">
        <w:rPr>
          <w:rFonts w:ascii="Arial" w:hAnsi="Arial" w:cs="Arial"/>
          <w:b/>
          <w:sz w:val="24"/>
          <w:szCs w:val="24"/>
        </w:rPr>
        <w:t>Michelle Channing</w:t>
      </w:r>
      <w:r w:rsidRPr="00E876CF">
        <w:rPr>
          <w:rFonts w:ascii="Arial" w:hAnsi="Arial" w:cs="Arial"/>
          <w:sz w:val="24"/>
          <w:szCs w:val="24"/>
        </w:rPr>
        <w:t xml:space="preserve"> in the ESF Programme Team</w:t>
      </w:r>
    </w:p>
    <w:p w14:paraId="59D6D1E0" w14:textId="213E6DA5" w:rsidR="00CA7EF8" w:rsidRDefault="00CA7EF8" w:rsidP="00CA7EF8">
      <w:pPr>
        <w:pStyle w:val="Default"/>
        <w:rPr>
          <w:rFonts w:ascii="Arial" w:hAnsi="Arial" w:cs="Arial"/>
          <w:bCs/>
        </w:rPr>
      </w:pPr>
    </w:p>
    <w:p w14:paraId="730122AA" w14:textId="77777777" w:rsidR="00CA7EF8" w:rsidRPr="00F43671" w:rsidRDefault="00CA7EF8" w:rsidP="00CA7EF8">
      <w:pPr>
        <w:pStyle w:val="Default"/>
        <w:rPr>
          <w:rFonts w:ascii="Arial" w:hAnsi="Arial" w:cs="Arial"/>
          <w:bCs/>
        </w:rPr>
      </w:pPr>
    </w:p>
    <w:p w14:paraId="2FCBA9C9" w14:textId="77777777" w:rsidR="00CA7EF8" w:rsidRDefault="00CA7EF8" w:rsidP="00CA7EF8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77E86722" w14:textId="4B7EB68E" w:rsidR="00A653A1" w:rsidRPr="00470AB8" w:rsidRDefault="00A653A1" w:rsidP="00620B6D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470AB8">
        <w:rPr>
          <w:rFonts w:ascii="Arial" w:hAnsi="Arial" w:cs="Arial"/>
          <w:bCs/>
          <w:sz w:val="24"/>
          <w:szCs w:val="24"/>
        </w:rPr>
        <w:t xml:space="preserve">Further information regarding ESF Case Studies </w:t>
      </w:r>
      <w:proofErr w:type="gramStart"/>
      <w:r w:rsidRPr="00470AB8">
        <w:rPr>
          <w:rFonts w:ascii="Arial" w:hAnsi="Arial" w:cs="Arial"/>
          <w:bCs/>
          <w:sz w:val="24"/>
          <w:szCs w:val="24"/>
        </w:rPr>
        <w:t>can be found</w:t>
      </w:r>
      <w:proofErr w:type="gramEnd"/>
      <w:r w:rsidRPr="00470AB8">
        <w:rPr>
          <w:rFonts w:ascii="Arial" w:hAnsi="Arial" w:cs="Arial"/>
          <w:bCs/>
          <w:sz w:val="24"/>
          <w:szCs w:val="24"/>
        </w:rPr>
        <w:t xml:space="preserve"> here</w:t>
      </w:r>
      <w:r w:rsidR="00470AB8">
        <w:rPr>
          <w:rFonts w:ascii="Arial" w:hAnsi="Arial" w:cs="Arial"/>
          <w:bCs/>
          <w:sz w:val="24"/>
          <w:szCs w:val="24"/>
        </w:rPr>
        <w:t>:</w:t>
      </w:r>
    </w:p>
    <w:p w14:paraId="6BF70853" w14:textId="6517A59B" w:rsidR="00A653A1" w:rsidRPr="00470AB8" w:rsidRDefault="00EE62AA" w:rsidP="00620B6D">
      <w:pPr>
        <w:spacing w:line="240" w:lineRule="auto"/>
        <w:rPr>
          <w:rFonts w:ascii="Arial" w:hAnsi="Arial" w:cs="Arial"/>
          <w:bCs/>
          <w:sz w:val="24"/>
          <w:szCs w:val="24"/>
        </w:rPr>
      </w:pPr>
      <w:hyperlink r:id="rId9" w:history="1">
        <w:r w:rsidR="00A653A1" w:rsidRPr="00470AB8">
          <w:rPr>
            <w:rStyle w:val="Hyperlink"/>
            <w:rFonts w:ascii="Arial" w:hAnsi="Arial" w:cs="Arial"/>
            <w:sz w:val="24"/>
            <w:szCs w:val="24"/>
          </w:rPr>
          <w:t>https://www.gov.uk/government/publications/european-structural-and-investment-funds-case-studies</w:t>
        </w:r>
      </w:hyperlink>
    </w:p>
    <w:p w14:paraId="34A12F8A" w14:textId="77777777" w:rsidR="00F20D12" w:rsidRDefault="00F20D12" w:rsidP="00620B6D">
      <w:pPr>
        <w:pStyle w:val="Default"/>
        <w:rPr>
          <w:sz w:val="22"/>
          <w:szCs w:val="22"/>
        </w:rPr>
      </w:pPr>
    </w:p>
    <w:p w14:paraId="26A99162" w14:textId="78354C26" w:rsidR="00F20D12" w:rsidRDefault="00F20D12" w:rsidP="00620B6D">
      <w:pPr>
        <w:spacing w:line="240" w:lineRule="auto"/>
        <w:rPr>
          <w:rFonts w:ascii="FoundrySterling-Bold" w:hAnsi="FoundrySterling-Bold" w:cs="FoundrySterling-Bold"/>
        </w:rPr>
      </w:pPr>
    </w:p>
    <w:p w14:paraId="2FB73F53" w14:textId="77777777" w:rsidR="00844518" w:rsidRDefault="00844518" w:rsidP="00620B6D">
      <w:pPr>
        <w:spacing w:line="240" w:lineRule="auto"/>
      </w:pPr>
    </w:p>
    <w:sectPr w:rsidR="008445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81F9F" w14:textId="77777777" w:rsidR="0034404C" w:rsidRDefault="0034404C" w:rsidP="0034404C">
      <w:pPr>
        <w:spacing w:after="0" w:line="240" w:lineRule="auto"/>
      </w:pPr>
      <w:r>
        <w:separator/>
      </w:r>
    </w:p>
  </w:endnote>
  <w:endnote w:type="continuationSeparator" w:id="0">
    <w:p w14:paraId="03BBD487" w14:textId="77777777" w:rsidR="0034404C" w:rsidRDefault="0034404C" w:rsidP="0034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terling-Bold">
    <w:altName w:val="Foundry Sterlin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8A846" w14:textId="77777777" w:rsidR="0034404C" w:rsidRDefault="003440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B7C18" w14:textId="77777777" w:rsidR="0034404C" w:rsidRDefault="003440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5536E" w14:textId="77777777" w:rsidR="0034404C" w:rsidRDefault="00344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33C7B" w14:textId="77777777" w:rsidR="0034404C" w:rsidRDefault="0034404C" w:rsidP="0034404C">
      <w:pPr>
        <w:spacing w:after="0" w:line="240" w:lineRule="auto"/>
      </w:pPr>
      <w:r>
        <w:separator/>
      </w:r>
    </w:p>
  </w:footnote>
  <w:footnote w:type="continuationSeparator" w:id="0">
    <w:p w14:paraId="56761229" w14:textId="77777777" w:rsidR="0034404C" w:rsidRDefault="0034404C" w:rsidP="00344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7AB15" w14:textId="77777777" w:rsidR="0034404C" w:rsidRDefault="00344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BC0A9" w14:textId="1BAD5686" w:rsidR="0034404C" w:rsidRDefault="003440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9E87C" w14:textId="77777777" w:rsidR="0034404C" w:rsidRDefault="00344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E679B"/>
    <w:multiLevelType w:val="hybridMultilevel"/>
    <w:tmpl w:val="C1E4D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05C9B"/>
    <w:multiLevelType w:val="hybridMultilevel"/>
    <w:tmpl w:val="E56E3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A1224"/>
    <w:multiLevelType w:val="hybridMultilevel"/>
    <w:tmpl w:val="6156B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47644"/>
    <w:multiLevelType w:val="hybridMultilevel"/>
    <w:tmpl w:val="D01A1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67592"/>
    <w:multiLevelType w:val="hybridMultilevel"/>
    <w:tmpl w:val="4D703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0CD"/>
    <w:multiLevelType w:val="hybridMultilevel"/>
    <w:tmpl w:val="E3B88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00D24"/>
    <w:multiLevelType w:val="hybridMultilevel"/>
    <w:tmpl w:val="B0CAD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2C"/>
    <w:rsid w:val="000144BD"/>
    <w:rsid w:val="000A05CF"/>
    <w:rsid w:val="00121CFB"/>
    <w:rsid w:val="00127741"/>
    <w:rsid w:val="00142B12"/>
    <w:rsid w:val="00195DBA"/>
    <w:rsid w:val="0027598A"/>
    <w:rsid w:val="002B281D"/>
    <w:rsid w:val="002E1318"/>
    <w:rsid w:val="002F7505"/>
    <w:rsid w:val="0034404C"/>
    <w:rsid w:val="00366AAC"/>
    <w:rsid w:val="00422D31"/>
    <w:rsid w:val="00470402"/>
    <w:rsid w:val="00470AB8"/>
    <w:rsid w:val="00523B29"/>
    <w:rsid w:val="0058553D"/>
    <w:rsid w:val="00592280"/>
    <w:rsid w:val="005F77B4"/>
    <w:rsid w:val="00620B6D"/>
    <w:rsid w:val="007B6D4E"/>
    <w:rsid w:val="00806FE9"/>
    <w:rsid w:val="00817D3E"/>
    <w:rsid w:val="00837BD8"/>
    <w:rsid w:val="00844518"/>
    <w:rsid w:val="00867973"/>
    <w:rsid w:val="008762FD"/>
    <w:rsid w:val="00885779"/>
    <w:rsid w:val="00997826"/>
    <w:rsid w:val="00A43E56"/>
    <w:rsid w:val="00A653A1"/>
    <w:rsid w:val="00A80691"/>
    <w:rsid w:val="00AA027C"/>
    <w:rsid w:val="00AF279A"/>
    <w:rsid w:val="00B00966"/>
    <w:rsid w:val="00BE372C"/>
    <w:rsid w:val="00C46A36"/>
    <w:rsid w:val="00CA7EF8"/>
    <w:rsid w:val="00CB3002"/>
    <w:rsid w:val="00CC4C42"/>
    <w:rsid w:val="00CD60EC"/>
    <w:rsid w:val="00E35137"/>
    <w:rsid w:val="00E876CF"/>
    <w:rsid w:val="00EE62AA"/>
    <w:rsid w:val="00F20D12"/>
    <w:rsid w:val="00F21671"/>
    <w:rsid w:val="00F43671"/>
    <w:rsid w:val="00FA322A"/>
    <w:rsid w:val="00FB4888"/>
    <w:rsid w:val="00FC6C84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88B65C"/>
  <w15:chartTrackingRefBased/>
  <w15:docId w15:val="{F62B59BF-2726-4E69-B9BB-99B07F68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0D1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653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0AB8"/>
    <w:pPr>
      <w:ind w:left="720"/>
      <w:contextualSpacing/>
    </w:pPr>
  </w:style>
  <w:style w:type="paragraph" w:styleId="Header">
    <w:name w:val="header"/>
    <w:basedOn w:val="Normal"/>
    <w:link w:val="HeaderChar"/>
    <w:rsid w:val="000A05C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0A05CF"/>
    <w:rPr>
      <w:rFonts w:ascii="Arial" w:eastAsia="Times New Roman" w:hAnsi="Arial" w:cs="Times New Roman"/>
      <w:sz w:val="24"/>
      <w:szCs w:val="20"/>
    </w:rPr>
  </w:style>
  <w:style w:type="paragraph" w:customStyle="1" w:styleId="CharCharCharChar">
    <w:name w:val="Char Char Char Char"/>
    <w:basedOn w:val="Normal"/>
    <w:rsid w:val="000A05C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AA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44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european-structural-and-investment-funds-case-studi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CHANNING, Michelle</dc:creator>
  <cp:keywords/>
  <dc:description/>
  <cp:lastModifiedBy>CHANNING, Michelle</cp:lastModifiedBy>
  <cp:revision>17</cp:revision>
  <dcterms:created xsi:type="dcterms:W3CDTF">2019-04-10T08:38:00Z</dcterms:created>
  <dcterms:modified xsi:type="dcterms:W3CDTF">2019-07-09T09:12:00Z</dcterms:modified>
</cp:coreProperties>
</file>